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Ente pubblico economico ai sensi dell'art. 2 bis, comma 2, lett. a), del D. lgs. n. 33/2013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90014820295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00000000000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CONSORZIO DI BONIFICA DELTA DEL PO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attivitàdi servizi 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Veneto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1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RODOLFO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LAURENTI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 xml:space="preserve"> Dirigente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 xml:space="preserve">Direttore 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01/08/2024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42B1BEA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  <w:r w:rsidR="00BC118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FDC87BE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27FC27B7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19826CDC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2AE6DB4F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1FC033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4A58CFBF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03CF318E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1 misure sono state avviate le attività e, dunque, sono attualmente in corso di adozione</w:t>
        <w:br/>
        <w:t>	-	Per 1 misure non sono state ancora avviate le attività e non saranno avviate nei tempi previsti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in un apposito codice e sono state adottate nel 2018</w:t>
        <w:br/>
        <w:t>Inoltre le suddette misure sono state aggiornate 2 volte.</w:t>
        <w:br/>
        <w:t/>
        <w:br/>
        <w:t>Tutti gli atti di incarico e i relativi contratti,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Ritenute sufficienti quelle adottate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acquisizione e conservazione delle dichiarazioni di insussistenza di situazioni di conflitto di interessi da parte dei dipendenti al momento dell’assegnazione all’ufficio o della nomina a RUP</w:t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  <w:br/>
        <w:t xml:space="preserve">  - predisposizione di appositi moduli per agevolare la tempestiva presentazione della dichiarazione sulla sussistenza di situazioni di conflitto di interessi</w:t>
        <w:br/>
        <w:t xml:space="preserve">  - attività di sensibilizzazione del personale al rispetto di quanto previsto in materia dalla l. n. 241/1990 e dalle misure di comportamento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>Nel documento unitario che tiene luogo del PTPCT o nella sezione apposita del M.O.G. non è stata prevista la misura della Rotazione Ordinaria del Personale per le seguenti motivazioni: La rotazione dei dirigenti e delle figure con funzioni di responsabilità nel Consorzio costituisce una scelta inefficiente che pregiudicherebbe la qualità e l’efficienza e convenienza delle attività e dei servizi svolti</w:t>
      </w:r>
    </w:p>
    <w:p w14:paraId="72335899" w14:textId="4C42AF3B" w:rsidP="00050F7D" w:rsidR="00997BF2" w:rsidRDefault="00997BF2">
      <w:r>
        <w:t/>
      </w:r>
    </w:p>
    <w:p w14:paraId="35493B48" w14:textId="407CF617" w:rsidP="00050F7D" w:rsidR="00997BF2" w:rsidRDefault="00997BF2">
      <w:r>
        <w:t/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 xml:space="preserve">Le misure in materia di inconferibilità e incompatibilità degli incarichi, pur essendo state programmate nel documento unitario che tiene luogo del PTPCT o nella sezione apposita del M.O.G. di riferimento, non sono state ancora attuate, in particolare: </w:t>
        <w:br/>
        <w:t>Sono state avviate le attività e, dunque, sono attualmente in corso di adozione</w:t>
      </w:r>
    </w:p>
    <w:p w14:paraId="5778DFBB" w14:textId="44C35BB7" w:rsidP="0083587B" w:rsidR="0069341C" w:rsidRDefault="0069341C">
      <w:r>
        <w:t/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“Whistleblowing”.</w:t>
      </w:r>
    </w:p>
    <w:p w14:paraId="0602532A" w14:textId="7E002B3C" w:rsidP="00D352E2" w:rsidR="000076D6" w:rsidRDefault="000076D6">
      <w:r>
        <w:t/>
        <w:br/>
        <w:t>Possono effettuare le segnalazioni solo gli altri soggetti assimilati a dipendenti pubblici quali ad esempio:</w:t>
        <w:br/>
        <w:t xml:space="preserve">  - consulenti</w:t>
        <w:br/>
        <w:t xml:space="preserve">  - collaboratori</w:t>
        <w:br/>
        <w:t xml:space="preserve">  - Consorziati 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>Nell'anno di riferimento delle misure di prevenzione della corruzione in esame, è stata erogata formazione in materia di prevenzione della corruzione e trasparenza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  <w:br/>
        <w:t>Non sono stati somministrati ai partecipanti presenti questionari finalizzati a misurare il loro livello di gradimento e/o apprendimento.</w:t>
      </w:r>
    </w:p>
    <w:p w14:paraId="7C6C7A0C" w14:textId="6D160980" w:rsidP="00D352E2" w:rsidR="00945379" w:rsidRDefault="00945379">
      <w:r>
        <w:t/>
        <w:br/>
        <w:t>La formazione è stata affidata a soggetti esterni in dettaglio:</w:t>
        <w:br/>
        <w:t xml:space="preserve">  - ODV del Consorzio</w:t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annuale.</w:t>
        <w:br/>
        <w:t>I monitoraggi non hanno evidenziato irregolarità nella pubblicazione dei dati.</w:t>
      </w:r>
    </w:p>
    <w:p w14:paraId="1920DBD5" w14:textId="32892E43" w:rsidP="00D352E2" w:rsidR="006D748D" w:rsidRDefault="006D748D">
      <w:r>
        <w:t/>
        <w:br/>
        <w:t>La società/ente ha realizzato l'informatizzazione del flusso per alimentare la pubblicazione dei dati nella sezione “Amministrazione/Società trasparente”.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l’indirizzo email</w:t>
        <w:br/>
        <w:t/>
        <w:br/>
        <w:t>Nell’anno di riferimento delle misure di prevenzione della corruzione in esame non sono pervenute richieste di accesso civico "semplice".</w:t>
        <w:br/>
        <w:t/>
        <w:br/>
        <w:t>La procedura per la gestione delle richieste di accesso civico “generalizzato” è stata adottata e pubblicata sul sito istituzionale.</w:t>
        <w:br/>
        <w:t>Sono stati inoltre pubblicati:</w:t>
        <w:br/>
        <w:t xml:space="preserve">  - l’ufficio competente</w:t>
        <w:br/>
        <w:t xml:space="preserve">  - l’indirizzo email</w:t>
        <w:br/>
        <w:t/>
        <w:br/>
        <w:t>Nell’anno di riferimento delle misure di prevenzione della corruzione in esame non sono pervenute richieste di accesso civico “generalizzato”.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l’indirizzo email</w:t>
        <w:br/>
        <w:t/>
        <w:br/>
        <w:t>Nell’anno di riferimento delle misure di prevenzione della corruzione in esame, sono pervenute 2 richieste di accesso documentale che sono state evase con il seguente esito:</w:t>
        <w:br/>
        <w:t xml:space="preserve">  2  richieste con “informazione fornita all'utente”</w:t>
        <w:br/>
        <w:t xml:space="preserve">  0  richieste con “informazione non fornita all'utente”</w:t>
        <w:br/>
        <w:t/>
        <w:br/>
        <w:t>È stata adottata un'unica procedura per la disciplina organica e coordinata delle tre diverse tipologie di accesso: civico semplice, civico generalizzato, documentale ai sensi della legge n. 241/1990.</w:t>
        <w:br/>
        <w:t/>
        <w:br/>
        <w:t>È stato istituito il registro degli accessi ed è stata rispettata l'indicazione che prevede di riportare nel registro l'esito delle istanze</w:t>
        <w:br/>
        <w:t/>
        <w:br/>
        <w:t>In merito al livello di adempimento degli obblighi di trasparenza, si formula il seguente giudizio: Il livello di adempimento è da considerarsi buono non si riscontrano inadempienze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/>
        <w:br/>
        <w:t>La misura “Pantouflage”, pur essendo stata programmata nel documento unitario che tiene luogo del PTPCT o nella sezione apposita del M.O.G. di riferimento, non è stata ancora attuata, in particolare:</w:t>
        <w:br/>
        <w:t>Non sono state ancora avviate le attività e non saranno avviate nei tempi previsti per le seguenti motivazioni:</w:t>
        <w:br/>
        <w:t xml:space="preserve">  - carenza di personale</w:t>
        <w:br/>
        <w:t xml:space="preserve">  - Nella formazione prevista è stata ben spiegata la misura anricorruttiva del pantouflage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>La misura “Patti di Integrità”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 Previsti per i lavori PNRR la sottoscrizione di un accordo con la GdF e incontri periodi nel caso sussistano problematiche particolari nell'esecuzione degli stessi lavori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positivo sulla qualità dei servizi</w:t>
        <w:br/>
        <w:t xml:space="preserve">  - positivo sull'efficienza dei servizi (es. in termini di riduzione dei tempi di erogazione dei servizi)</w:t>
        <w:br/>
        <w:t xml:space="preserve">  - neutrale sul funzionamento della società/ente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positivo su Niente da rilevare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/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3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3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54B15597" w14:textId="322D6583" w:rsidP="00A82AEF" w:rsidR="006E5641" w:rsidRDefault="006E5641"/>
    <w:p w14:paraId="129C1C66" w14:textId="65C5E141" w:rsidP="00A82AEF" w:rsidR="006E5641" w:rsidRDefault="006E5641">
      <w:r>
        <w:t/>
      </w:r>
    </w:p>
    <w:p w14:paraId="5352D731" w14:textId="24510ECB" w:rsidP="00A82AEF" w:rsidR="00B36318" w:rsidRDefault="00214959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 PTPCT, non sono pervenute segnalazioni per eventi corruttivi.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aumentata in ragione di: Con la formazione ai dipendenti si è aumentata la consapevolezza </w:t>
        <w:br/>
        <w:t xml:space="preserve">  - la capacità di individuare e far emergere situazioni di rischio corruttivo e di intervenire con adeguati rimedi è rimasta invariata</w:t>
        <w:br/>
        <w:t xml:space="preserve">  - la reputazione dell'ente è rimasta invariata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“eventi corruttivi”,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è stata emessa nessuna sentenza di condanna non definitiva nei confronti di dipendenti dell'amministrazione.</w:t>
        <w:br/>
        <w:t/>
        <w:br/>
        <w:t>Nell'anno di riferimento del PTPCT non è stata emessa nessuna sentenza di condanna definitiva nei confronti di dipendenti dell'amministrazione.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 PTPCT non sono stati avviati procedimenti disciplinari riconducibili a eventi corruttivi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>Si ritiene che la messa in atto del processo di gestione del rischio abbia generato dentro l’organizzazione i seguenti effetti: sufficiente per le seguenti ragioni: Con il monitoraggio periodico si è evidenziato la validità delle misure adottate</w:t>
        <w:br/>
        <w:t/>
        <w:br/>
        <w:t>Si ritiene che l’idoneità complessiva della strategia di prevenzione della corruzione (definita attraverso una valutazione sintetica) con particolare riferimento alle misure previste nel Piano e attuate sia idoneo per le seguenti ragioni: Con il monitoraggio periodico si è evidenziato la validità delle misure adottate</w:t>
        <w:br/>
        <w:t/>
        <w:br/>
        <w:t>Si ritiene che l'esercizio del ruolo di impulso e coordinamento del RPCT rispetto alla messa in atto del processo di gestione del rischio (definito attraverso una valutazione sintetica) sia stato parzialmente idoneo per le seguenti ragioni: Il RPCT nel Consorzio coincide con il Direttore che è colui che da l'impulso all'attvità dell'ente e per questo riesce a coordinare l'azione del RPTC rispetto all'attuazione del PTPC.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Con riferimento all’attuazione delle misure specifiche di controllo, nell’anno di riferimento delle misure di prevenzione della corruzione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t/>
        <w:br/>
        <w:t xml:space="preserve">Di seguito si fornisce il dettaglio del monitoraggio per ogni singola misura di controllo programmata </w:t>
        <w:br/>
        <w:t/>
        <w:br/>
        <w:t>Area di rischio: D.4 Contratti pubblici - Verifica dell’aggiudicazione e stipula del contratto</w:t>
        <w:br/>
        <w:t>Denominazione misura: Verifica a campione  delle dichiarazioni degli operatori economici negli affidamenti</w:t>
        <w:br/>
        <w:t>La misura è stata attuata nei tempi previsti.</w:t>
        <w:br/>
        <w:t/>
        <w:br/>
        <w:t>Area di rischio: D.5 Contratti pubblici - Esecuzione</w:t>
        <w:br/>
        <w:t>Denominazione misura: Obblighi di informazione del RPCT in caso di proroghe contrattuali o affidamenti d’urgenza</w:t>
        <w:br/>
        <w:t>La misura è stata attuata nei tempi previsti.</w:t>
        <w:br/>
        <w:t/>
        <w:br/>
        <w:t>Area di rischio: E. Incarichi e nomine</w:t>
        <w:br/>
        <w:t>Denominazione misura: Azioni di contrasto ai favoritismi nell’assunzione di parenti e affini</w:t>
        <w:br/>
        <w:t>La misura è stata attuata nei tempi previsti.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Non sono state programmate misure specifiche di trasparenza.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Non sono state programmate misure specifiche di definizione e promozione dell’etica e di standard di comportamento.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Non sono state programmate misure specifiche di regolamentazione.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E16" w14:textId="77777777" w:rsidR="000C6B57" w:rsidRDefault="000C6B57" w:rsidP="00424EBB">
      <w:r>
        <w:separator/>
      </w:r>
    </w:p>
  </w:endnote>
  <w:endnote w:type="continuationSeparator" w:id="0">
    <w:p w14:paraId="1C5BF670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3B9A0570" w14:textId="77777777" w:rsidP="00424EBB" w:rsidR="000C6B57" w:rsidRDefault="000C6B57">
      <w:r>
        <w:separator/>
      </w:r>
    </w:p>
  </w:footnote>
  <w:footnote w:id="0" w:type="continuationSeparator">
    <w:p w14:paraId="1481F6E5" w14:textId="77777777" w:rsidP="00424EBB" w:rsidR="000C6B57" w:rsidRDefault="000C6B5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2021-11-25T09:44:00Z</dcterms:modified>
  <cp:revision>55</cp:revision>
</cp:coreProperties>
</file>